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5103"/>
      </w:tblGrid>
      <w:tr w:rsidR="00F05676" w:rsidRPr="00F05676" w:rsidTr="00F05676">
        <w:trPr>
          <w:trHeight w:val="555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jc w:val="center"/>
              <w:rPr>
                <w:sz w:val="24"/>
                <w:szCs w:val="24"/>
              </w:rPr>
            </w:pPr>
            <w:r w:rsidRPr="00F05676">
              <w:rPr>
                <w:sz w:val="24"/>
                <w:szCs w:val="24"/>
              </w:rPr>
              <w:t>TITOLO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05676">
              <w:rPr>
                <w:sz w:val="24"/>
                <w:szCs w:val="24"/>
              </w:rPr>
              <w:t>TIPOLOGIA</w:t>
            </w:r>
          </w:p>
        </w:tc>
      </w:tr>
      <w:tr w:rsidR="00F05676" w:rsidRPr="00F05676" w:rsidTr="00F05676">
        <w:trPr>
          <w:trHeight w:val="1515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1. Entrate correnti di natura tributaria e contributiva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101. Tributi diretti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102. Tributi indiretti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105. Compartecipazione di tributi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301. Fondi perequativi da A.C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302. Fondi perequativi dalla Regione</w:t>
            </w:r>
          </w:p>
        </w:tc>
      </w:tr>
      <w:tr w:rsidR="00F05676" w:rsidRPr="00F05676" w:rsidTr="00F05676">
        <w:trPr>
          <w:trHeight w:val="1830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2. Trasferimenti correnti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101. Trasferimenti correnti da Amministrazioni Pubbliche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102. Trasferimenti correnti da Famiglie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103. Trasferimenti correnti da Imprese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104. Trasferimenti correnti da Istituzioni sociali private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105. Trasferimenti correnti dalla Unione Europea </w:t>
            </w:r>
          </w:p>
        </w:tc>
      </w:tr>
      <w:tr w:rsidR="00F05676" w:rsidRPr="00F05676" w:rsidTr="00F05676">
        <w:trPr>
          <w:trHeight w:val="1830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3. Entrate extra-tributarie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100. Vendita di beni e servizi e proventi gestione dei beni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200. Proventi derivanti dall’attività di controllo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300. Interessi attivi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400. Altre entrate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500. Rimborsi</w:t>
            </w:r>
          </w:p>
        </w:tc>
      </w:tr>
      <w:tr w:rsidR="00F05676" w:rsidRPr="00F05676" w:rsidTr="00F05676">
        <w:trPr>
          <w:trHeight w:val="1830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 4. Entrate in conto capitale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100. Tributi in conto capitale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200. Contributi agli investimenti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300. Trasferimenti in c/capitale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400. Entrate da alienazione di beni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lastRenderedPageBreak/>
              <w:t xml:space="preserve">500. Altre entrate in c/capitale </w:t>
            </w:r>
          </w:p>
        </w:tc>
      </w:tr>
      <w:tr w:rsidR="00F05676" w:rsidRPr="00F05676" w:rsidTr="00F05676">
        <w:trPr>
          <w:trHeight w:val="1830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lastRenderedPageBreak/>
              <w:t>5. Entrate da riduzione di attività finanziarie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100. Alienazione di attività finanziarie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200. Riscossione di crediti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300. Altre entrate per riduzione di attività finanziarie</w:t>
            </w:r>
          </w:p>
        </w:tc>
      </w:tr>
      <w:tr w:rsidR="00F05676" w:rsidRPr="00F05676" w:rsidTr="00F05676">
        <w:trPr>
          <w:trHeight w:val="1830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6. Accensione di prestiti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100. Emissione di titoli obbligazionari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200. Accensione di prestiti a breve termine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300. Accensione di mutui e prestiti a medio-lungo termine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400. Altre forme di indebitamento </w:t>
            </w:r>
          </w:p>
        </w:tc>
      </w:tr>
      <w:tr w:rsidR="00F05676" w:rsidRPr="00F05676" w:rsidTr="00F05676">
        <w:trPr>
          <w:trHeight w:val="1830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7. Anticipazione di Tesoreria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700. Anticipazione di tesoreria/cassa</w:t>
            </w:r>
          </w:p>
        </w:tc>
      </w:tr>
      <w:tr w:rsidR="00F05676" w:rsidRPr="00F05676" w:rsidTr="00F05676">
        <w:trPr>
          <w:trHeight w:val="1830"/>
          <w:tblCellSpacing w:w="0" w:type="dxa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9. Entrate per conto di terzi e Partite di giro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 xml:space="preserve">100. Entrate per partite di giro </w:t>
            </w:r>
          </w:p>
          <w:p w:rsidR="00F05676" w:rsidRPr="00F05676" w:rsidRDefault="00F05676" w:rsidP="00F05676">
            <w:pPr>
              <w:rPr>
                <w:sz w:val="28"/>
                <w:szCs w:val="28"/>
              </w:rPr>
            </w:pPr>
            <w:r w:rsidRPr="00F05676">
              <w:rPr>
                <w:sz w:val="28"/>
                <w:szCs w:val="28"/>
              </w:rPr>
              <w:t>200. Entrate per conto di terzi</w:t>
            </w:r>
          </w:p>
        </w:tc>
      </w:tr>
    </w:tbl>
    <w:p w:rsidR="00841971" w:rsidRDefault="00841971"/>
    <w:sectPr w:rsidR="00841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47"/>
    <w:rsid w:val="004F4C47"/>
    <w:rsid w:val="00841971"/>
    <w:rsid w:val="00F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2012-10-11T15:00:00Z</dcterms:created>
  <dcterms:modified xsi:type="dcterms:W3CDTF">2012-10-11T15:35:00Z</dcterms:modified>
</cp:coreProperties>
</file>